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456</w:t>
      </w:r>
    </w:p>
    <w:p>
      <w:r>
        <w:t>Bundesgericht (BGE), 1969-05-28, FR</w:t>
      </w:r>
    </w:p>
    <w:p>
      <w:r>
        <w:rPr>
          <w:b/>
        </w:rPr>
        <w:t xml:space="preserve">Quelle: </w:t>
      </w:r>
      <w:r>
        <w:t>https://mcp.opencaselaw.ch/entscheid/bge_95 II 456</w:t>
      </w:r>
    </w:p>
    <w:p>
      <w:r>
        <w:t>FR: ATF 95 II 456</w:t>
      </w:r>
    </w:p>
    <w:p>
      <w:r>
        <w:t>IT: DTF 95 II 456</w:t>
      </w:r>
    </w:p>
    <w:p>
      <w:pPr>
        <w:pStyle w:val="Heading2"/>
      </w:pPr>
      <w:r>
        <w:t>Regeste</w:t>
      </w:r>
    </w:p>
    <w:p>
      <w:r>
        <w:t>Regeste Firmen von Aktiengesellschaften. Verwechslungsgefahr. Art. 951 Abs. 2 und 956 Abs. 2 OR. 1. Ob eine Verwechslungsgefahr vorliege, ist eine Rechtsfrage (Erw. 1). 2. Diese Gefahr besteht schon, wenn sie sich nach den besonderen Umständen des Falles wahrscheinlich auswirken wird (Erw. 1). 3. Grundsätze, nach denen zu prüfen ist, ob eine Verwechslungsgefahr bestehe (Erw. 2). 4. Vergleichung der beiden Firmen "Sodip" und "Sodibel" (Erw. 3). 5. Ein Verbot, das für den Fall der Verletzung die in Art. 292 StGB vorgesehenen Strafen androht, muss diese Strafen ausdrücklich erwähnen; das Bundesgericht ergänzt auf Berufung hin den Urteilsspruch in diesem Punkte, nötigenfalls von Amtes wegen (Erw. 4).</w:t>
      </w:r>
    </w:p>
    <w:p>
      <w:pPr>
        <w:pStyle w:val="Heading2"/>
      </w:pPr>
      <w:r>
        <w:t>Erwägungen</w:t>
      </w:r>
    </w:p>
    <w:p>
      <w:r>
        <w:rPr>
          <w:b/>
        </w:rPr>
        <w:t>E. 1</w:t>
      </w:r>
    </w:p>
    <w:p>
      <w:r>
        <w:t>Dans le cas de la société anonyme, la raison sociale qui ne contient pas de noms de personnes doit se distinguer nettement de toute autre raison déjà inscrite en Suisse (art. 951 al. 2 CO). Lorsque le titulaire d'une telle raison subit un préjudice du fait qu'un tiers en use indûment, il peut demander au juge de mettre fin à cet usage et, en cas de faute, réclamer des dommages-intérêts (art. 956 al. 2 CO). Il a donc un droit préférable et peut exiger que le créateur d'une raison nouvelle la choisisse de manière à éviter tout danger de confusion avec la sienne. La question que pose l'existence d'un tel danger de confusion relève du droit. Le Tribunal fédéral, saisi d'un recours en réforme, en connaît donc librement (art. 43 al. 1 OJ). Le risque de confusion existe non pas seulement lorsque des confusions se sont effectivement produites, mais déjà lorsqu'il s'en produira vraisemblablement, vu les circonstances particulières du cas (arrêt Schweizer Skischule Zermatt, du 13 mars 1956, RO 82 II 154 et les arrêts cités).</w:t>
      </w:r>
    </w:p>
    <w:p>
      <w:r>
        <w:rPr>
          <w:b/>
        </w:rPr>
        <w:t>E. 2</w:t>
      </w:r>
    </w:p>
    <w:p>
      <w:r>
        <w:t>Pour savoir si un danger de confusion existe, on comparera les deux raisons commerciales dans leur ensemble. Cependant, lorsqu'elles contiennent des éléments qui frappent plus que les autres, on les tiendra aussi pour plus importants (arrêt Pavag, du 14 juin 1966, RO 92 II 95, consid. 2). Du reste, le public tend, par abréviation, à n'user que de ces éléments-là (arrêt Pavag, précité, consid. 4). S'il s'agit de noms de fantaisie, on témoignera de plus de rigueur car, dans ce domaine, la liberté du choix est particulièrement grande. Les dispositions légales sur les raisons de commerce tendent non pas à réglementer la concurrence, mais à garantir des confusions, d'une part le titulaire de la raison plus ancienne, vu les droits attachés à sa personne et l'ensemble de ses intérêts commerciaux, d'autre part le public lui-même. De ce principe découlent deux conséquences principales. Premièrement, il peut y avoir danger de confusion au sens de la loi alors même que les titulaires des deux raisons de commerce n'ont pas leur siège dans le même lieu et, par la nature de leurs affaires, n'entrent BGE 95 II 456 S. 459 pas en concurrence (arrêt Pavag, précité, consid. 1; arrêt Rubinstein, du 9 mai 1967, RO 93 II 44, consid. 2 a). A contrario, on sera d'autant plus sévère que, par leur similitude, le siège et les affaires des sociétés rendent les méprises plus probables (arrêts précités). Secondement, le public que la loi veut garantir du risque de confusion comprend, outre la clientèle des deux entreprises, non seulement les personnes privées qui ont affaire avec elles, ainsi les personnes en quête d'emplois, mais encore les autorités et les services publics, par exemple les postes (arrêt Rubinstein, précité, consid. 1a). Enfin, il ne suffit pas que l'on distingue les raisons lorsqu'on les lit ou les entend nommer l'une à la suite de l'autre; il faut, bien plus, que le souvenir permette de les différencier suffisamment. L'action fondée sur l'art. 956 al. 2 CO se justifie, alors même que l'analogie des raisons en cause ne suggère que l'existence d'une relation, soit juridique, soit économique, entre les entreprises (arrêts précités).</w:t>
      </w:r>
    </w:p>
    <w:p>
      <w:r>
        <w:rPr>
          <w:b/>
        </w:rPr>
        <w:t>E. 3</w:t>
      </w:r>
    </w:p>
    <w:p>
      <w:r>
        <w:t>Dans la présente espèce, les vocables "Sodip" et "Sodibel" sont des noms de fantaisie. Les deux entreprises ont leur siège à Genève et elles ont, partiellement tout au moins, le même but. De plus, comme la cour cantonale le constate souverainement, la seconde jouit de la notoriété. Conformément aux principes rappelés ci-dessus, ces circonstances appellent une appréciation particulièrement sévère du risque de confusion. Sans doute, comme l'allègue la recourante, faut-il mettre en regard, généralement, l'impression d'ensemble que font les raisons en cause pour juger de ce risque. Mais il n'en reste pas moins que les deux vocables "Sodip" et "Sodibel" constituent l'élément frappant des raisons sociales et sont décisifs dans la mémoire des personnes qui doivent pouvoir les distinguer. Les éléments explicatifs ajoutés à son nom par l'intimée ne peuvent jouer qu'un rôle négligeable dans la mémoire des intéressés. C'est en vain que la recourante prétend le contraire: elle se heurte, ce faisant, aux principes de la jurisprudence. Si l'on compare les deux vocables "Sodip" et "Sodibel", on doit admettre avec la Cour de justice et par les mêmes motifs - auxquels il suffit de renvoyer - qu'ils prêtent à confusion. Si le premier a deux syllabes seulement, tandis que le second en a trois, l'élément qui les caractérise l'un et l'autre consiste dans le préfixe "Sodi", qui est identique pour chacune des parties. BGE 95 II 456 S. 460 La recourante voudrait précisément que l'on fasse abstraction de ces deux syllabes pour ne considérer que les terminaisons, qui diffèrent sensiblement dans les deux raisons sociales: car, dit-elle, ces premières syllabes ont un sens générique, constituant l'abréviation du terme "société de distribution". Mais il est clair que, pour la plupart des personnes qui entrent en contact avec les deux sociétés, le préfixe "Sodi" n'a aucun sens. Il est du reste si peu commun que la recourante n'a pu trouver en Suisse que quatre autres sociétés qui l'ont utilisé pour créer des raisons de fantaisie; encore avaient-elles pour but des activités différentes. La recourante, enfin, ne saurait arguer de l'arrêt Pharmacal SA c. Pharmac SA, rendu par la cour de céans le 14 mars 1950 (non publié). Car ces deux raisons, dont la coexistence fut jugée admissible, étaient manifestement dérivées du mot "pharmacie". Or ce terme désigne une branche d'activité commune et, partant, nul ne saurait se l'approprier par une transformation de fantaisie pour en faire une raison sociale exclusive. Le cas diffère essentiellement de celui de "Sodip" et "Sodibel", qui ne font pas allusion de manière généralement intelligible à un certain genre d'activités.</w:t>
      </w:r>
    </w:p>
    <w:p>
      <w:r>
        <w:rPr>
          <w:b/>
        </w:rPr>
        <w:t>E. 4</w:t>
      </w:r>
    </w:p>
    <w:p>
      <w:r>
        <w:t>Par son arrêt, la Cour de justice a interdit à la défenderesse de faire aucun usage de la raison sociale "Sodibel" dans l'exploitation de son entreprise et cela "sous menace des peines prévues à l'art. 292 CPS". Elle n'a pas précisé quelles sont ces peines. Or, selon la jurisprudence de la Cour de cassation pénale du Tribunal fédéral, à défaut d'une telle précision, le contrevenant à l'interdiction n'est punissable de par la disposition précitée que s'il connaissait néanmoins les peines qu'elle fixe (RO 86 IV 28). Le dispositif doit donc être complété d'office (RO 83 II 261, consid. 6) par la mention expresse de ces peines.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